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 xml:space="preserve">招 聘 简 章</w:t>
      </w:r>
    </w:p>
    <w:p>
      <w:pPr>
        <w:pStyle w:val="PO26"/>
        <w:numPr>
          <w:ilvl w:val="0"/>
          <w:numId w:val="0"/>
        </w:numPr>
        <w:jc w:val="both"/>
        <w:spacing w:lineRule="exact" w:line="480" w:before="0" w:after="0"/>
        <w:ind w:right="0" w:lef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湖北精诚钢结构股份有限公司（精诚股份）成立于2006年9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月13日，地处湖北省黄冈市团风县城南工业园，占地面积19万余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平方米，总资产约3亿元。公司具备国家建筑施工总承包一级资质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（全国42家钢结构试点企业之一）、钢结构专业承包一级资质、钢结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构制造一级资质、建筑行业设计乙级资质、房屋建筑工程施工总承包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三级资质，专业致力于工业建筑钢结构、电厂钢结构、桥梁钢结构、装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配式建筑、智能房屋等领域，旗下拥有湖北精远管业有限公司、湖北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盛业建筑设计有限公司、新疆精诚钢结构有限公司。</w:t>
      </w:r>
    </w:p>
    <w:p>
      <w:pPr>
        <w:pStyle w:val="PO26"/>
        <w:numPr>
          <w:ilvl w:val="0"/>
          <w:numId w:val="0"/>
        </w:numPr>
        <w:jc w:val="both"/>
        <w:spacing w:lineRule="exact" w:line="480" w:before="0" w:after="0"/>
        <w:ind w:right="0" w:lef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公司先后被认定为“守合同重信用企业”、“纳税A级信用单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位”、 “湖北省劳动诚信单位”、 “中国中小创新100强企业”、 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“科技创新先进单位”、“高新技术企业”。“黄冈市百强企业”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“黄冈市优秀企业”、“湖北省钢结构焊接工程技术研究中心”等。</w:t>
      </w:r>
    </w:p>
    <w:p>
      <w:pPr>
        <w:pStyle w:val="PO26"/>
        <w:numPr>
          <w:ilvl w:val="0"/>
          <w:numId w:val="0"/>
        </w:numPr>
        <w:jc w:val="both"/>
        <w:spacing w:lineRule="exact" w:line="480" w:before="0" w:after="0"/>
        <w:ind w:right="0" w:lef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多年来，精诚股份秉持“团结奋进、求实创新、励精图治、敢为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人先”的团队精神，集聚了一大批国内钢结构行业精英。现公司因发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展需要，储备人才，特诚聘以下实习生或应届毕业生：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lef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技术员（详图深化）：3名，男女不限，大专以上学历，钢结构或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建筑专业，能熟练操作制图软件，对钢结构有一定的认识，工作认真、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细致，为人踏实、谦虚、勤奋、好学。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lef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施工员：3名，男，大专以上学历，理论基础较好，钢结构或建筑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专业，对钢结构的施工有一定的认识，善于沟通，适应能力强。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lef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实习生待遇：大专起点：1500元/月；本科起点2000元/月；在我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公司实习期满3个月，并愿意留任继续就业的，经考核合格，可直接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转正，免试用期，同时，根据考核情况，调整至3.5-6万年薪。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lef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应届毕业生待遇：1500元/月；本科起点2000元/月；试用期三个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月，试用期满，依据考核情况，调整至3.5-6万年薪，后续工作中再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结合个人实际业绩调整薪资待遇。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left="0" w:firstLine="56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联系方式：吕女士13607259313吕女士    龙先生18671738201</w:t>
      </w:r>
    </w:p>
    <w:p>
      <w:pPr>
        <w:numPr>
          <w:ilvl w:val="0"/>
          <w:numId w:val="0"/>
        </w:numPr>
        <w:jc w:val="right"/>
        <w:spacing w:lineRule="exact" w:line="480" w:before="0" w:after="0"/>
        <w:ind w:right="0" w:left="0" w:firstLine="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湖北精诚钢结构股份有限公司</w:t>
      </w:r>
    </w:p>
    <w:p>
      <w:pPr>
        <w:numPr>
          <w:ilvl w:val="0"/>
          <w:numId w:val="0"/>
        </w:numPr>
        <w:jc w:val="both"/>
        <w:spacing w:lineRule="exact" w:line="480" w:before="0" w:after="0"/>
        <w:ind w:right="0" w:left="0" w:firstLine="560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二0一九年四月</w:t>
      </w:r>
    </w:p>
    <w:sectPr>
      <w:pgSz w:w="11906" w:h="16838"/>
      <w:pgMar w:top="1135" w:left="1800" w:bottom="1135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japaneseCounting"/>
      <w:start w:val="1"/>
      <w:suff w:val="tab"/>
      <w:pPr>
        <w:ind w:left="1280" w:hanging="7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40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82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24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66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308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50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92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340" w:hanging="420"/>
        <w:jc w:val="both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uiPriority w:val="26"/>
    <w:unhideWhenUsed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817</Characters>
  <CharactersWithSpaces>0</CharactersWithSpaces>
  <DocSecurity>0</DocSecurity>
  <HyperlinksChanged>false</HyperlinksChanged>
  <Lines>5</Lines>
  <LinksUpToDate>false</LinksUpToDate>
  <Pages>1</Pages>
  <Paragraphs>1</Paragraphs>
  <Words>122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2019-04-09T08:50:00Z</dcterms:modified>
</cp:coreProperties>
</file>